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  <w:shd w:val="clear" w:color="auto" w:fill="F9F9F9"/>
        </w:rPr>
        <w:t>Кредитование малого и среднего предпринимательства</w:t>
      </w:r>
      <w:bookmarkStart w:id="0" w:name="_GoBack"/>
      <w:bookmarkEnd w:id="0"/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Минэкономразвития России осуществляется комплекс мер финансовой поддержки субъектов малого и среднего предпринимательства (МСП).</w:t>
      </w:r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 настоящее время господдержка малого и среднего бизнеса осуществляется в соответствии с государственной программой Российской Федерации «Экономическое развитие и инновационная экономика», в рамках которой реализуются мероприятия по созданию и развитию организаций, образующих инфраструктуру поддержки субъектов МСП.</w:t>
      </w:r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Кредиты предоставляются в рамках реализации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ставке, утвержденных </w:t>
      </w:r>
      <w:hyperlink r:id="rId4" w:tgtFrame="_blank" w:history="1">
        <w:r>
          <w:rPr>
            <w:rStyle w:val="a4"/>
            <w:rFonts w:ascii="Arial" w:hAnsi="Arial" w:cs="Arial"/>
            <w:color w:val="7FB2DE"/>
            <w:u w:val="none"/>
          </w:rPr>
          <w:t>постановлением Правительства Российской Федерации от 30 декабря 2018 г. № 1764</w:t>
        </w:r>
      </w:hyperlink>
      <w:r>
        <w:rPr>
          <w:rFonts w:ascii="Arial" w:hAnsi="Arial" w:cs="Arial"/>
          <w:color w:val="1E1E1E"/>
        </w:rPr>
        <w:t> (далее – Правила 1764).</w:t>
      </w:r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Субъекты МСП могут получить кредит на инвестиционные цели (от 0,5 млн. рублей до 2 млрд. рублей на срок до 10 лет) и на пополнение оборотных средств (от 0,5 млн. рублей до 500 млн. рублей на срок до 3 лет) по льготной ставке не более 8,5% годовых.</w:t>
      </w:r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Кредиты предоставляются на деятельность в приоритетных отраслях, к которым относятся: сельское хозяйство, обрабатывающее производство, производство и распределение электроэнергии, строительство, туристская деятельности, деятельность в области информации и связи, транспортировка и хранение, здравоохранение, образование, утилизация отходов, деятельность в области культуры, спорта и др.</w:t>
      </w:r>
    </w:p>
    <w:p w:rsidR="001B1C05" w:rsidRDefault="001B1C05" w:rsidP="001B1C0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Уполномоченные банки, участвующие в программе льготного финансирования, размещены на сайте Минэкономразвития России (</w:t>
      </w:r>
      <w:hyperlink r:id="rId5" w:tgtFrame="_blank" w:history="1">
        <w:r>
          <w:rPr>
            <w:rStyle w:val="a4"/>
            <w:rFonts w:ascii="Arial" w:hAnsi="Arial" w:cs="Arial"/>
            <w:color w:val="7FB2DE"/>
            <w:u w:val="none"/>
          </w:rPr>
          <w:t>список банков</w:t>
        </w:r>
      </w:hyperlink>
      <w:r>
        <w:rPr>
          <w:rFonts w:ascii="Arial" w:hAnsi="Arial" w:cs="Arial"/>
          <w:color w:val="1E1E1E"/>
        </w:rPr>
        <w:t>)».</w:t>
      </w:r>
    </w:p>
    <w:p w:rsidR="007175BE" w:rsidRDefault="007175BE"/>
    <w:sectPr w:rsidR="0071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A"/>
    <w:rsid w:val="001B1C05"/>
    <w:rsid w:val="007175BE"/>
    <w:rsid w:val="00D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B952-A86C-45E7-991B-8AE3AEA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depinvest/2019062701" TargetMode="External"/><Relationship Id="rId4" Type="http://schemas.openxmlformats.org/officeDocument/2006/relationships/hyperlink" Target="https://www.garant.ru/products/ipo/prime/doc/72041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2020-04-08T09:17:00Z</dcterms:created>
  <dcterms:modified xsi:type="dcterms:W3CDTF">2020-04-08T09:18:00Z</dcterms:modified>
</cp:coreProperties>
</file>