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                   </w:t>
      </w:r>
      <w:r>
        <w:object w:dxaOrig="1019" w:dyaOrig="1260">
          <v:rect xmlns:o="urn:schemas-microsoft-com:office:office" xmlns:v="urn:schemas-microsoft-com:vml" id="rectole0000000000" style="width:50.950000pt;height:6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КУРГАНСКАЯ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ОБЛАСТЬ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ШАДРИНСКИЙ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РАЙОН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22.03.2021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Ольховка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статьей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174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  <w:vertAlign w:val="superscript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Бюджетного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кодекса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22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2019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 796 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требованиях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оценке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Утвердить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обнародовать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разместить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исполнением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оставляю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Мезенцев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12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5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постановлению</w:t>
      </w:r>
    </w:p>
    <w:p>
      <w:pPr>
        <w:spacing w:before="0" w:after="0" w:line="240"/>
        <w:ind w:right="0" w:left="5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522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22.03.2021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522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5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I.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1. 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определяет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правила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правила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используются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следующие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понятия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термины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выпадающие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обусловленные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освобождениями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преференциями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местным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предусмотренные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относящимися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социальные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целевая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обусловленных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необходимостью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социальной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поддержки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стимулирующие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целевая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предполагающих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стимулирование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субъектов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предпринимательской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последующее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увеличение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целевая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категория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предполагающих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уменьшение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воспользовавшихся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льготами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финансовое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частично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714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содержащий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распределении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элементов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относящимися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местной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полномочиями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установленными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правовыми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актами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достижение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понятия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термины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используемые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применяются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определенных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кодексом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общими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требова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shd w:fill="FFFFFF" w:val="clear"/>
          </w:rPr>
          <w:t xml:space="preserve"> HYPERLINK "consultantplus://offline/ref=51596F47E4D377FC9A2F54CAE5BE8432D02D30732259BDF3C18E6A8F6BE248B8D1C876F2120395E9906F65135AA6E1912252830C30DB15AF33x8J"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ниями</w:t>
        </w:r>
      </w:hyperlink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субъектов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утвержденными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Постановлением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22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2019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796 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требованиях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субъектов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образований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требования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Порядок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Перечня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Администрация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—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апреля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очередной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плановый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согласование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tabs>
          <w:tab w:val="left" w:pos="757" w:leader="none"/>
        </w:tabs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4.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рассматривают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предмет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распределения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относящимися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Замечания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предложения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уточнению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71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замечания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предполагают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изменение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замечания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предложения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согласованию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предлагаемым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направлению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абзаце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71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разногласий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проекту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проведение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согласительных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совещаний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соответствующими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25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71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рассмотрения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проекта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направлены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соответствующим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указанного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абзаце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первом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считается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согласованным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соответствующим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утверждается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июня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рабочих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утверждения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размещается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информационно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телекоммуникационной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сайт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6. 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принятия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предусматривающих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изменение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включенной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рабочих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вступления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силу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направляют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уточнения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рабочих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получения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вышеуказанной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утверждает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размещает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уточненный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7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7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Формирование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расходов</w:t>
      </w:r>
    </w:p>
    <w:p>
      <w:pPr>
        <w:spacing w:before="0" w:after="0" w:line="240"/>
        <w:ind w:right="0" w:left="0" w:firstLine="771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7. 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перечнем</w:t>
        </w:r>
      </w:hyperlink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8. 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отношении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каждого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включенного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очередной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плановый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71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9. 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FFFFFF" w:val="clear"/>
        </w:rPr>
        <w:t xml:space="preserve">C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целью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получения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февраля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Управление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Федеральной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службы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Курганской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УФНС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Курганской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категориях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указанием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обусловливающих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соответствующие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действовавших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отчетном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предшествующем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отчетному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10. 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апреля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объеме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отчетному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объемов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отчетный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прогнозные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очередной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плановый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основании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УФНС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России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Курганской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представленной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Общими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требованиями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11. 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представляется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кураторами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Сводная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формируется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уполномоченным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июня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показатели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настоящему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IV.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формирование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предложений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сохранению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уточнению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отмене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установлению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нового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12. 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основании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фискальных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осуществляют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каждому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13. 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объемов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14. 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целесообразности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15.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Критериями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целесообразности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1)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относящимся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2)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востребованность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предоставленных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которая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характеризуется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соотношением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численности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воспользовавшихся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общей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численности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пятилетний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16. 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несоответствия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хотя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одному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критериев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пункте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представляет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предложения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сохранении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уточнении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отмене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17. 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качестве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критерия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определяется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минимум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один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которого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оказывают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влияние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подлежит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вклад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предусмотренных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изменение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который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рассчитывается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разница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между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указанного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учетом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значением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указанного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без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учета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18. 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19. 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сравнительный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предоставления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применения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альтернативных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механизмов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36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20. 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Сравнительный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анализ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включает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сравнение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объемов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применения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альтернативных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механизмов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объемов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предоставленных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расчет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прироста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рубль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рубль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же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показателя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индикатора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применения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альтернативных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механизмов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21.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качестве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альтернативных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механизмов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могут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учитываться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           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субсидии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непосредственной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поддержки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счет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средств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предоставление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гарантий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обязательствам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совершенствование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нормативного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регулирования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осуществления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контрольно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надзорных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функций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сфере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22. 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проводится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стадии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принятия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решения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целесообразности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возможности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установления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необходимости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подготовки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проекта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устанавливающего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ежегодно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сроки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предусмотренные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пунктом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настоящего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Порядка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отношении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действующих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правовыми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актами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предшествующий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отчетному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финансовому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23. 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итогам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содержащую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выводы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характеристик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выводы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вкладе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подпрограммы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выводы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наличии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отсутствии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более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менее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затратных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альтернативных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механизмов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        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социально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экономической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относящихся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предложения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сохранении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уточнении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отмене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предоставленных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плательщикам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льгот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об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установлении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24. 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результатах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направляется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кураторами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25. 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Уполномоченный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итоговую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июня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текущего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финансового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26. 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Итоговая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течение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рабочих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дня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ее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размещается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уполномоченного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учитывается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формировании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основных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направлений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бюджетной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налоговой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политики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эффективности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реализации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программ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8032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0" w:line="240"/>
        <w:ind w:right="0" w:left="80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</w:p>
    <w:p>
      <w:pPr>
        <w:spacing w:before="0" w:after="0" w:line="240"/>
        <w:ind w:right="0" w:left="8032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очередной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финансовый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плановый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период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8"/>
        <w:gridCol w:w="1626"/>
        <w:gridCol w:w="1235"/>
        <w:gridCol w:w="1530"/>
        <w:gridCol w:w="1650"/>
        <w:gridCol w:w="1494"/>
        <w:gridCol w:w="1621"/>
        <w:gridCol w:w="1701"/>
        <w:gridCol w:w="1889"/>
        <w:gridCol w:w="1327"/>
      </w:tblGrid>
      <w:tr>
        <w:trPr>
          <w:trHeight w:val="2343" w:hRule="auto"/>
          <w:jc w:val="left"/>
        </w:trPr>
        <w:tc>
          <w:tcPr>
            <w:tcW w:w="4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16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ваются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</w:t>
            </w:r>
          </w:p>
        </w:tc>
        <w:tc>
          <w:tcPr>
            <w:tcW w:w="12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Реквизиты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льгота </w:t>
            </w:r>
          </w:p>
        </w:tc>
        <w:tc>
          <w:tcPr>
            <w:tcW w:w="16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предусмотрена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льгота</w:t>
            </w:r>
          </w:p>
        </w:tc>
        <w:tc>
          <w:tcPr>
            <w:tcW w:w="14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  <w:tc>
          <w:tcPr>
            <w:tcW w:w="162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  <w:tc>
          <w:tcPr>
            <w:tcW w:w="17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38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программы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документа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отражающего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социально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экономического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образования</w:t>
            </w:r>
          </w:p>
        </w:tc>
        <w:tc>
          <w:tcPr>
            <w:tcW w:w="18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структурного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элемента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программы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документа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отражающего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социально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экономического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образования</w:t>
            </w:r>
          </w:p>
        </w:tc>
        <w:tc>
          <w:tcPr>
            <w:tcW w:w="13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2" w:left="-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</w:tr>
      <w:tr>
        <w:trPr>
          <w:trHeight w:val="255" w:hRule="auto"/>
          <w:jc w:val="left"/>
        </w:trPr>
        <w:tc>
          <w:tcPr>
            <w:tcW w:w="49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9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2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8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55" w:hRule="auto"/>
          <w:jc w:val="left"/>
        </w:trPr>
        <w:tc>
          <w:tcPr>
            <w:tcW w:w="498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6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5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0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94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1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89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27" w:type="dxa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49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086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0" w:after="0" w:line="240"/>
        <w:ind w:right="0" w:left="50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50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Ольховского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ПОКАЗАТЕЛЕЙ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ОЦЕНКИ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НАЛОГОВЫХ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РАСХОДОВ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570"/>
        <w:gridCol w:w="6375"/>
        <w:gridCol w:w="2970"/>
      </w:tblGrid>
      <w:tr>
        <w:trPr>
          <w:trHeight w:val="1" w:hRule="atLeast"/>
          <w:jc w:val="left"/>
        </w:trPr>
        <w:tc>
          <w:tcPr>
            <w:tcW w:w="69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Предоставляемая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</w:t>
            </w:r>
          </w:p>
        </w:tc>
        <w:tc>
          <w:tcPr>
            <w:tcW w:w="29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данных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3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предусматриваются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предусматриваются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предусмотрены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Перечень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устанавливающих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прекращения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3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Перечень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Перечень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преимуществ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плательщиками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пределах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предоставляются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индикатор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достижения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относящихся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налогу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ОКВЭД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относится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обусловлен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преференциями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Принадлежность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полномочий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методикой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Правительства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ноября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2004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670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выравнивание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субъектов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  <w:tr>
        <w:trPr>
          <w:trHeight w:val="1" w:hRule="atLeast"/>
          <w:jc w:val="left"/>
        </w:trPr>
        <w:tc>
          <w:tcPr>
            <w:tcW w:w="9915" w:type="dxa"/>
            <w:gridSpan w:val="3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Фискальные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Курганской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очередной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Уполномоченный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воспользовавшихся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Курганской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задекларированный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Курганской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задекларированный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плательщиками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льготы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преференции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предшествующих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отчетному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УФНС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Курганской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70" w:hRule="auto"/>
          <w:jc w:val="left"/>
        </w:trPr>
        <w:tc>
          <w:tcPr>
            <w:tcW w:w="5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6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расхода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Куратор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налогового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расхода</w:t>
            </w:r>
          </w:p>
        </w:tc>
      </w:tr>
    </w:tbl>
    <w:p>
      <w:pPr>
        <w:tabs>
          <w:tab w:val="left" w:pos="8557" w:leader="none"/>
          <w:tab w:val="left" w:pos="8742" w:leader="none"/>
          <w:tab w:val="left" w:pos="8816" w:leader="none"/>
        </w:tabs>
        <w:spacing w:before="0" w:after="0" w:line="240"/>
        <w:ind w:right="0" w:left="0" w:firstLine="981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#P183" Id="docRId3" Type="http://schemas.openxmlformats.org/officeDocument/2006/relationships/hyperlink" /><Relationship TargetMode="External" Target="consultantplus://offline/ref=629225CCE0A57FCE458E758C9F3598A14567AA5B9E0C8DEE113E76852858C84F9EA4F0A4B88494AD41772C963C4A269B9E2B1700CC57B1B0q3l5F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consultantplus://offline/ref=51596F47E4D377FC9A2F54CAE5BE8432D02D30732259BDF3C18E6A8F6BE248B8D1C876F2120395E9906F65135AA6E1912252830C30DB15AF33x8J" Id="docRId2" Type="http://schemas.openxmlformats.org/officeDocument/2006/relationships/hyperlink" /><Relationship TargetMode="External" Target="consultantplus://offline/ref=629225CCE0A57FCE458E758C9F3598A14565AF569A0D8DEE113E76852858C84F8CA4A8A8B98088AE40627AC77Aq1lFF" Id="docRId4" Type="http://schemas.openxmlformats.org/officeDocument/2006/relationships/hyperlink" /><Relationship Target="numbering.xml" Id="docRId6" Type="http://schemas.openxmlformats.org/officeDocument/2006/relationships/numbering" /></Relationships>
</file>